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8" w:rsidRPr="0000529B" w:rsidRDefault="00EA37C8">
      <w:pPr>
        <w:rPr>
          <w:rFonts w:ascii="Arial" w:hAnsi="Arial" w:cs="Arial"/>
          <w:b/>
        </w:rPr>
      </w:pPr>
    </w:p>
    <w:p w:rsidR="0062431C" w:rsidRDefault="0062431C" w:rsidP="0062431C">
      <w:pPr>
        <w:jc w:val="center"/>
        <w:rPr>
          <w:rFonts w:ascii="Arial" w:hAnsi="Arial" w:cs="Arial"/>
          <w:b/>
        </w:rPr>
      </w:pPr>
      <w:r>
        <w:rPr>
          <w:rFonts w:ascii="Arial" w:hAnsi="Arial" w:cs="Arial"/>
          <w:b/>
        </w:rPr>
        <w:t>Program Efficacy Report</w:t>
      </w:r>
      <w:r>
        <w:rPr>
          <w:rFonts w:ascii="Arial" w:hAnsi="Arial" w:cs="Arial"/>
          <w:b/>
        </w:rPr>
        <w:br/>
        <w:t>Spring 2010</w:t>
      </w:r>
    </w:p>
    <w:p w:rsidR="0062431C" w:rsidRDefault="0062431C">
      <w:pPr>
        <w:rPr>
          <w:rFonts w:ascii="Arial" w:hAnsi="Arial" w:cs="Arial"/>
          <w:b/>
        </w:rPr>
      </w:pPr>
    </w:p>
    <w:p w:rsidR="00EA37C8" w:rsidRPr="0000529B" w:rsidRDefault="00EA37C8">
      <w:pPr>
        <w:rPr>
          <w:rFonts w:ascii="Arial" w:hAnsi="Arial" w:cs="Arial"/>
        </w:rPr>
      </w:pPr>
      <w:r w:rsidRPr="0000529B">
        <w:rPr>
          <w:rFonts w:ascii="Arial" w:hAnsi="Arial" w:cs="Arial"/>
          <w:b/>
        </w:rPr>
        <w:t>Name of Department</w:t>
      </w:r>
      <w:r w:rsidR="00B119FC" w:rsidRPr="0000529B">
        <w:rPr>
          <w:rFonts w:ascii="Arial" w:hAnsi="Arial" w:cs="Arial"/>
        </w:rPr>
        <w:t>:</w:t>
      </w:r>
      <w:r w:rsidR="00D6121E" w:rsidRPr="0000529B">
        <w:rPr>
          <w:rFonts w:ascii="Arial" w:hAnsi="Arial" w:cs="Arial"/>
        </w:rPr>
        <w:tab/>
      </w:r>
      <w:r w:rsidR="00F81493">
        <w:rPr>
          <w:rFonts w:ascii="Arial" w:hAnsi="Arial" w:cs="Arial"/>
        </w:rPr>
        <w:t>Tutoring</w:t>
      </w:r>
      <w:r w:rsidR="00B119FC" w:rsidRPr="0000529B">
        <w:rPr>
          <w:rFonts w:ascii="Arial" w:hAnsi="Arial" w:cs="Arial"/>
        </w:rPr>
        <w:tab/>
      </w:r>
      <w:r w:rsidR="00D6121E" w:rsidRPr="0000529B">
        <w:rPr>
          <w:rFonts w:ascii="Arial" w:hAnsi="Arial" w:cs="Arial"/>
        </w:rPr>
        <w:tab/>
      </w:r>
    </w:p>
    <w:p w:rsidR="00EA37C8" w:rsidRPr="0000529B" w:rsidRDefault="00EA37C8">
      <w:pPr>
        <w:rPr>
          <w:rFonts w:ascii="Arial" w:hAnsi="Arial" w:cs="Arial"/>
        </w:rPr>
      </w:pPr>
    </w:p>
    <w:p w:rsidR="00D6121E" w:rsidRDefault="0062431C">
      <w:pPr>
        <w:rPr>
          <w:rFonts w:ascii="Arial" w:hAnsi="Arial" w:cs="Arial"/>
          <w:b/>
        </w:rPr>
      </w:pPr>
      <w:r>
        <w:rPr>
          <w:rFonts w:ascii="Arial" w:hAnsi="Arial" w:cs="Arial"/>
          <w:b/>
        </w:rPr>
        <w:t>Efficacy Team</w:t>
      </w:r>
      <w:r w:rsidR="00E86E7D">
        <w:rPr>
          <w:rFonts w:ascii="Arial" w:hAnsi="Arial" w:cs="Arial"/>
          <w:b/>
        </w:rPr>
        <w:t>:</w:t>
      </w:r>
      <w:r w:rsidR="00F81493">
        <w:rPr>
          <w:rFonts w:ascii="Arial" w:hAnsi="Arial" w:cs="Arial"/>
          <w:b/>
        </w:rPr>
        <w:tab/>
        <w:t>Dawn Adler and Troy Sheffield</w:t>
      </w:r>
    </w:p>
    <w:p w:rsidR="00E86E7D" w:rsidRDefault="00E86E7D">
      <w:pPr>
        <w:rPr>
          <w:rFonts w:ascii="Arial" w:hAnsi="Arial" w:cs="Arial"/>
        </w:rPr>
      </w:pPr>
    </w:p>
    <w:p w:rsidR="0000529B" w:rsidRDefault="00E86E7D">
      <w:pPr>
        <w:rPr>
          <w:rFonts w:ascii="Arial" w:hAnsi="Arial" w:cs="Arial"/>
          <w:b/>
        </w:rPr>
      </w:pPr>
      <w:r>
        <w:rPr>
          <w:rFonts w:ascii="Arial" w:hAnsi="Arial" w:cs="Arial"/>
          <w:b/>
        </w:rPr>
        <w:t xml:space="preserve">Overall </w:t>
      </w:r>
      <w:r w:rsidR="0000529B" w:rsidRPr="0000529B">
        <w:rPr>
          <w:rFonts w:ascii="Arial" w:hAnsi="Arial" w:cs="Arial"/>
          <w:b/>
        </w:rPr>
        <w:t>Recommendation</w:t>
      </w:r>
      <w:r>
        <w:rPr>
          <w:rFonts w:ascii="Arial" w:hAnsi="Arial" w:cs="Arial"/>
          <w:b/>
        </w:rPr>
        <w:t xml:space="preserve"> (include rationale)</w:t>
      </w:r>
      <w:r w:rsidR="0000529B" w:rsidRPr="0000529B">
        <w:rPr>
          <w:rFonts w:ascii="Arial" w:hAnsi="Arial" w:cs="Arial"/>
          <w:b/>
        </w:rPr>
        <w:t xml:space="preserve">:  </w:t>
      </w:r>
    </w:p>
    <w:p w:rsidR="00E0610D" w:rsidRDefault="00E0610D">
      <w:pPr>
        <w:rPr>
          <w:rFonts w:ascii="Arial" w:hAnsi="Arial" w:cs="Arial"/>
          <w:b/>
        </w:rPr>
      </w:pPr>
    </w:p>
    <w:tbl>
      <w:tblPr>
        <w:tblStyle w:val="TableGrid"/>
        <w:tblW w:w="0" w:type="auto"/>
        <w:tblLook w:val="04A0"/>
      </w:tblPr>
      <w:tblGrid>
        <w:gridCol w:w="10440"/>
      </w:tblGrid>
      <w:tr w:rsidR="00E0610D" w:rsidTr="00E0610D">
        <w:tc>
          <w:tcPr>
            <w:tcW w:w="10440" w:type="dxa"/>
          </w:tcPr>
          <w:p w:rsidR="00E0610D" w:rsidRDefault="00E0610D">
            <w:pPr>
              <w:rPr>
                <w:rFonts w:ascii="Arial" w:hAnsi="Arial" w:cs="Arial"/>
                <w:b/>
              </w:rPr>
            </w:pPr>
          </w:p>
          <w:p w:rsidR="00E0610D" w:rsidRPr="00BF2069" w:rsidRDefault="00C80575">
            <w:pPr>
              <w:rPr>
                <w:rFonts w:ascii="Arial" w:hAnsi="Arial" w:cs="Arial"/>
              </w:rPr>
            </w:pPr>
            <w:r>
              <w:rPr>
                <w:rFonts w:ascii="Arial" w:hAnsi="Arial" w:cs="Arial"/>
                <w:b/>
              </w:rPr>
              <w:t xml:space="preserve">Continuation:  </w:t>
            </w:r>
            <w:r w:rsidRPr="00BF2069">
              <w:rPr>
                <w:rFonts w:ascii="Arial" w:hAnsi="Arial" w:cs="Arial"/>
              </w:rPr>
              <w:t>Tutoring is an essential ingredient for student success</w:t>
            </w:r>
            <w:r w:rsidR="00005E98">
              <w:rPr>
                <w:rFonts w:ascii="Arial" w:hAnsi="Arial" w:cs="Arial"/>
              </w:rPr>
              <w:t xml:space="preserve">. The </w:t>
            </w:r>
            <w:r w:rsidRPr="00BF2069">
              <w:rPr>
                <w:rFonts w:ascii="Arial" w:hAnsi="Arial" w:cs="Arial"/>
              </w:rPr>
              <w:t xml:space="preserve">dedication to providing services to students makes this department very successful and student </w:t>
            </w:r>
            <w:r w:rsidR="00005E98">
              <w:rPr>
                <w:rFonts w:ascii="Arial" w:hAnsi="Arial" w:cs="Arial"/>
              </w:rPr>
              <w:t>oriented</w:t>
            </w:r>
            <w:r w:rsidRPr="00BF2069">
              <w:rPr>
                <w:rFonts w:ascii="Arial" w:hAnsi="Arial" w:cs="Arial"/>
              </w:rPr>
              <w:t xml:space="preserve">. </w:t>
            </w:r>
            <w:r w:rsidR="00005E98">
              <w:rPr>
                <w:rFonts w:ascii="Arial" w:hAnsi="Arial" w:cs="Arial"/>
              </w:rPr>
              <w:t xml:space="preserve">This is a center FOR students RUN by students. </w:t>
            </w:r>
            <w:r w:rsidRPr="00BF2069">
              <w:rPr>
                <w:rFonts w:ascii="Arial" w:hAnsi="Arial" w:cs="Arial"/>
              </w:rPr>
              <w:t xml:space="preserve">The Tutoring Department continues to seek additional ways to communicate hours and services to the campus. </w:t>
            </w:r>
            <w:r w:rsidR="00BF2069" w:rsidRPr="00BF2069">
              <w:rPr>
                <w:rFonts w:ascii="Arial" w:hAnsi="Arial" w:cs="Arial"/>
              </w:rPr>
              <w:t xml:space="preserve">The area does not have a full-time faculty </w:t>
            </w:r>
            <w:proofErr w:type="gramStart"/>
            <w:r w:rsidR="00BF2069" w:rsidRPr="00BF2069">
              <w:rPr>
                <w:rFonts w:ascii="Arial" w:hAnsi="Arial" w:cs="Arial"/>
              </w:rPr>
              <w:t>member,</w:t>
            </w:r>
            <w:proofErr w:type="gramEnd"/>
            <w:r w:rsidR="00BF2069" w:rsidRPr="00BF2069">
              <w:rPr>
                <w:rFonts w:ascii="Arial" w:hAnsi="Arial" w:cs="Arial"/>
              </w:rPr>
              <w:t xml:space="preserve"> as a result, issues such as the development of SLOs, assessment of SLOs and content review become problematic. It is important that the committee refer this situation to the VPI for possible solutions.</w:t>
            </w:r>
            <w:r w:rsidR="00005E98">
              <w:rPr>
                <w:rFonts w:ascii="Arial" w:hAnsi="Arial" w:cs="Arial"/>
              </w:rPr>
              <w:t xml:space="preserve"> </w:t>
            </w:r>
          </w:p>
          <w:p w:rsidR="00E0610D" w:rsidRDefault="00E0610D">
            <w:pPr>
              <w:rPr>
                <w:rFonts w:ascii="Arial" w:hAnsi="Arial" w:cs="Arial"/>
                <w:b/>
              </w:rPr>
            </w:pPr>
          </w:p>
          <w:p w:rsidR="00E0610D" w:rsidRDefault="00E0610D">
            <w:pPr>
              <w:rPr>
                <w:rFonts w:ascii="Arial" w:hAnsi="Arial" w:cs="Arial"/>
                <w:b/>
              </w:rPr>
            </w:pPr>
          </w:p>
          <w:p w:rsidR="00E0610D" w:rsidRDefault="00E0610D">
            <w:pPr>
              <w:rPr>
                <w:rFonts w:ascii="Arial" w:hAnsi="Arial" w:cs="Arial"/>
                <w:b/>
              </w:rPr>
            </w:pPr>
          </w:p>
          <w:p w:rsidR="00E0610D" w:rsidRDefault="00E0610D">
            <w:pPr>
              <w:rPr>
                <w:rFonts w:ascii="Arial" w:hAnsi="Arial" w:cs="Arial"/>
                <w:b/>
              </w:rPr>
            </w:pPr>
          </w:p>
          <w:p w:rsidR="00E0610D" w:rsidRDefault="00E0610D">
            <w:pPr>
              <w:rPr>
                <w:rFonts w:ascii="Arial" w:hAnsi="Arial" w:cs="Arial"/>
                <w:b/>
              </w:rPr>
            </w:pPr>
          </w:p>
        </w:tc>
      </w:tr>
    </w:tbl>
    <w:p w:rsidR="00E0610D" w:rsidRDefault="00E0610D">
      <w:pPr>
        <w:rPr>
          <w:rFonts w:ascii="Arial" w:hAnsi="Arial" w:cs="Arial"/>
          <w:b/>
        </w:rPr>
      </w:pPr>
    </w:p>
    <w:p w:rsidR="0062539F" w:rsidRDefault="0062539F" w:rsidP="0062539F">
      <w:pPr>
        <w:jc w:val="both"/>
        <w:rPr>
          <w:rFonts w:ascii="Arial" w:hAnsi="Arial" w:cs="Arial"/>
          <w:b/>
        </w:rPr>
      </w:pPr>
    </w:p>
    <w:p w:rsidR="0062431C" w:rsidRPr="00F72114" w:rsidRDefault="0062431C"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62431C" w:rsidRPr="00A35BD7" w:rsidTr="00E90F24">
        <w:trPr>
          <w:tblHeader/>
        </w:trPr>
        <w:tc>
          <w:tcPr>
            <w:tcW w:w="0" w:type="auto"/>
            <w:vMerge w:val="restart"/>
          </w:tcPr>
          <w:p w:rsidR="0062431C" w:rsidRPr="00A35BD7" w:rsidRDefault="0062431C" w:rsidP="00E90F24">
            <w:pPr>
              <w:rPr>
                <w:rFonts w:ascii="Arial" w:hAnsi="Arial" w:cs="Arial"/>
                <w:b/>
                <w:sz w:val="20"/>
                <w:szCs w:val="20"/>
              </w:rPr>
            </w:pPr>
          </w:p>
          <w:p w:rsidR="0062431C" w:rsidRPr="00A35BD7" w:rsidRDefault="0062431C"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62431C" w:rsidRPr="00A35BD7" w:rsidRDefault="0062431C" w:rsidP="00E90F24">
            <w:pPr>
              <w:jc w:val="center"/>
              <w:rPr>
                <w:rFonts w:ascii="Arial" w:hAnsi="Arial" w:cs="Arial"/>
                <w:b/>
                <w:sz w:val="20"/>
                <w:szCs w:val="20"/>
              </w:rPr>
            </w:pPr>
          </w:p>
          <w:p w:rsidR="0062431C" w:rsidRPr="00A35BD7" w:rsidRDefault="0062431C" w:rsidP="00E90F24">
            <w:pPr>
              <w:jc w:val="center"/>
              <w:rPr>
                <w:rFonts w:ascii="Arial" w:hAnsi="Arial" w:cs="Arial"/>
                <w:b/>
                <w:sz w:val="20"/>
                <w:szCs w:val="20"/>
              </w:rPr>
            </w:pPr>
            <w:r w:rsidRPr="00A35BD7">
              <w:rPr>
                <w:rFonts w:ascii="Arial" w:hAnsi="Arial" w:cs="Arial"/>
                <w:b/>
                <w:sz w:val="20"/>
                <w:szCs w:val="20"/>
              </w:rPr>
              <w:t>Institutional Expectations</w:t>
            </w:r>
          </w:p>
          <w:p w:rsidR="0062431C" w:rsidRPr="00A35BD7" w:rsidRDefault="0062431C" w:rsidP="00E90F24">
            <w:pPr>
              <w:jc w:val="center"/>
              <w:rPr>
                <w:rFonts w:ascii="Arial" w:hAnsi="Arial" w:cs="Arial"/>
                <w:b/>
                <w:sz w:val="20"/>
                <w:szCs w:val="20"/>
              </w:rPr>
            </w:pPr>
          </w:p>
        </w:tc>
      </w:tr>
      <w:tr w:rsidR="0062431C" w:rsidRPr="00A35BD7" w:rsidTr="00E90F24">
        <w:trPr>
          <w:tblHeader/>
        </w:trPr>
        <w:tc>
          <w:tcPr>
            <w:tcW w:w="0" w:type="auto"/>
            <w:vMerge/>
          </w:tcPr>
          <w:p w:rsidR="0062431C" w:rsidRPr="00A35BD7" w:rsidRDefault="0062431C" w:rsidP="00E90F24">
            <w:pPr>
              <w:rPr>
                <w:rFonts w:ascii="Arial" w:hAnsi="Arial" w:cs="Arial"/>
                <w:sz w:val="20"/>
                <w:szCs w:val="20"/>
              </w:rPr>
            </w:pP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Does Not Meet</w:t>
            </w:r>
          </w:p>
        </w:tc>
        <w:tc>
          <w:tcPr>
            <w:tcW w:w="0" w:type="auto"/>
          </w:tcPr>
          <w:p w:rsidR="0062431C" w:rsidRPr="00915BDB" w:rsidRDefault="0062431C" w:rsidP="00E90F24">
            <w:pPr>
              <w:rPr>
                <w:rFonts w:ascii="Arial" w:hAnsi="Arial" w:cs="Arial"/>
                <w:b/>
                <w:color w:val="FF0000"/>
                <w:sz w:val="20"/>
                <w:szCs w:val="20"/>
              </w:rPr>
            </w:pPr>
            <w:r w:rsidRPr="00915BDB">
              <w:rPr>
                <w:rFonts w:ascii="Arial" w:hAnsi="Arial" w:cs="Arial"/>
                <w:b/>
                <w:color w:val="FF0000"/>
                <w:sz w:val="20"/>
                <w:szCs w:val="20"/>
              </w:rPr>
              <w:t>Meets</w:t>
            </w: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does not provide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62431C" w:rsidRPr="00527349" w:rsidRDefault="0062431C" w:rsidP="00E90F24">
            <w:pPr>
              <w:rPr>
                <w:rFonts w:ascii="Arial" w:hAnsi="Arial" w:cs="Arial"/>
                <w:i/>
                <w:sz w:val="20"/>
                <w:szCs w:val="20"/>
              </w:rPr>
            </w:pPr>
          </w:p>
        </w:tc>
        <w:tc>
          <w:tcPr>
            <w:tcW w:w="0" w:type="auto"/>
          </w:tcPr>
          <w:p w:rsidR="0062431C" w:rsidRPr="00915BDB" w:rsidRDefault="00F81493" w:rsidP="00E90F24">
            <w:pPr>
              <w:rPr>
                <w:rFonts w:ascii="Arial" w:hAnsi="Arial" w:cs="Arial"/>
                <w:i/>
                <w:sz w:val="20"/>
                <w:szCs w:val="20"/>
              </w:rPr>
            </w:pPr>
            <w:r w:rsidRPr="00915BDB">
              <w:rPr>
                <w:rFonts w:ascii="Arial" w:hAnsi="Arial" w:cs="Arial"/>
                <w:i/>
                <w:sz w:val="20"/>
                <w:szCs w:val="20"/>
              </w:rPr>
              <w:t>The program has almost equal numbers of male and female tutors. They have developed steps to address the fact that fewer males receive tutoring than the ratio of men to women on campus.</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915BDB">
              <w:rPr>
                <w:rFonts w:ascii="Arial" w:hAnsi="Arial" w:cs="Arial"/>
                <w:b/>
                <w:sz w:val="20"/>
                <w:szCs w:val="20"/>
              </w:rPr>
              <w:t xml:space="preserve">  Meets</w:t>
            </w:r>
          </w:p>
          <w:p w:rsidR="00F81493" w:rsidRDefault="00F81493" w:rsidP="00E90F24">
            <w:pPr>
              <w:rPr>
                <w:rFonts w:ascii="Arial" w:hAnsi="Arial" w:cs="Arial"/>
                <w:b/>
                <w:sz w:val="20"/>
                <w:szCs w:val="20"/>
              </w:rPr>
            </w:pPr>
          </w:p>
          <w:p w:rsidR="00F81493" w:rsidRPr="00F81493" w:rsidRDefault="00F81493" w:rsidP="00E90F24">
            <w:pPr>
              <w:rPr>
                <w:rFonts w:ascii="Arial" w:hAnsi="Arial" w:cs="Arial"/>
                <w:sz w:val="20"/>
                <w:szCs w:val="20"/>
              </w:rPr>
            </w:pPr>
            <w:r w:rsidRPr="00F81493">
              <w:rPr>
                <w:rFonts w:ascii="Arial" w:hAnsi="Arial" w:cs="Arial"/>
                <w:sz w:val="20"/>
                <w:szCs w:val="20"/>
              </w:rPr>
              <w:t>The Tutoring staff reflect</w:t>
            </w:r>
            <w:r>
              <w:rPr>
                <w:rFonts w:ascii="Arial" w:hAnsi="Arial" w:cs="Arial"/>
                <w:sz w:val="20"/>
                <w:szCs w:val="20"/>
              </w:rPr>
              <w:t>s</w:t>
            </w:r>
            <w:r w:rsidRPr="00F81493">
              <w:rPr>
                <w:rFonts w:ascii="Arial" w:hAnsi="Arial" w:cs="Arial"/>
                <w:sz w:val="20"/>
                <w:szCs w:val="20"/>
              </w:rPr>
              <w:t xml:space="preserve"> the diversity of the campus. In addition they have developed actions to address the lower ratio of males who seek tutoring vs. their actual ratio on campus. </w:t>
            </w: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lastRenderedPageBreak/>
              <w:t>Pattern of Service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62431C" w:rsidRPr="00527349" w:rsidRDefault="00F81493" w:rsidP="00E90F24">
            <w:pPr>
              <w:rPr>
                <w:rFonts w:ascii="Arial" w:hAnsi="Arial" w:cs="Arial"/>
                <w:i/>
                <w:sz w:val="20"/>
                <w:szCs w:val="20"/>
              </w:rPr>
            </w:pPr>
            <w:r>
              <w:rPr>
                <w:rFonts w:ascii="Arial" w:hAnsi="Arial" w:cs="Arial"/>
                <w:i/>
                <w:sz w:val="20"/>
                <w:szCs w:val="20"/>
              </w:rPr>
              <w:t xml:space="preserve">The program provides significant hours of service and would provide more if they had more staff.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915BDB">
              <w:rPr>
                <w:rFonts w:ascii="Arial" w:hAnsi="Arial" w:cs="Arial"/>
                <w:b/>
                <w:sz w:val="20"/>
                <w:szCs w:val="20"/>
              </w:rPr>
              <w:t xml:space="preserve">  Meets</w:t>
            </w:r>
          </w:p>
          <w:p w:rsidR="0062431C" w:rsidRDefault="0062431C" w:rsidP="00E90F24">
            <w:pPr>
              <w:rPr>
                <w:rFonts w:ascii="Arial" w:hAnsi="Arial" w:cs="Arial"/>
                <w:b/>
                <w:sz w:val="20"/>
                <w:szCs w:val="20"/>
              </w:rPr>
            </w:pPr>
          </w:p>
          <w:p w:rsidR="0062431C" w:rsidRPr="00F81493" w:rsidRDefault="00F81493" w:rsidP="00E90F24">
            <w:pPr>
              <w:rPr>
                <w:rFonts w:ascii="Arial" w:hAnsi="Arial" w:cs="Arial"/>
                <w:sz w:val="20"/>
                <w:szCs w:val="20"/>
              </w:rPr>
            </w:pPr>
            <w:r w:rsidRPr="00F81493">
              <w:rPr>
                <w:rFonts w:ascii="Arial" w:hAnsi="Arial" w:cs="Arial"/>
                <w:sz w:val="20"/>
                <w:szCs w:val="20"/>
              </w:rPr>
              <w:t>There are some constraints to offering tutoring in the evening beyond the three days a week when the center is open until 9:00 p.m. Some evening and Saturday tutoring is made available by appointment.</w:t>
            </w:r>
          </w:p>
          <w:p w:rsidR="00F81493" w:rsidRPr="00F81493" w:rsidRDefault="00F81493" w:rsidP="00E90F24">
            <w:pPr>
              <w:rPr>
                <w:rFonts w:ascii="Arial" w:hAnsi="Arial" w:cs="Arial"/>
                <w:sz w:val="20"/>
                <w:szCs w:val="20"/>
              </w:rPr>
            </w:pPr>
          </w:p>
          <w:p w:rsidR="00F81493" w:rsidRPr="00F81493" w:rsidRDefault="00F81493" w:rsidP="00E90F24">
            <w:pPr>
              <w:rPr>
                <w:rFonts w:ascii="Arial" w:hAnsi="Arial" w:cs="Arial"/>
                <w:sz w:val="20"/>
                <w:szCs w:val="20"/>
              </w:rPr>
            </w:pPr>
            <w:r w:rsidRPr="00F81493">
              <w:rPr>
                <w:rFonts w:ascii="Arial" w:hAnsi="Arial" w:cs="Arial"/>
                <w:sz w:val="20"/>
                <w:szCs w:val="20"/>
              </w:rPr>
              <w:t>The</w:t>
            </w:r>
            <w:r w:rsidR="00C80575">
              <w:rPr>
                <w:rFonts w:ascii="Arial" w:hAnsi="Arial" w:cs="Arial"/>
                <w:sz w:val="20"/>
                <w:szCs w:val="20"/>
              </w:rPr>
              <w:t>ir</w:t>
            </w:r>
            <w:r w:rsidRPr="00F81493">
              <w:rPr>
                <w:rFonts w:ascii="Arial" w:hAnsi="Arial" w:cs="Arial"/>
                <w:sz w:val="20"/>
                <w:szCs w:val="20"/>
              </w:rPr>
              <w:t xml:space="preserve"> publication of the ‘</w:t>
            </w:r>
            <w:proofErr w:type="spellStart"/>
            <w:r w:rsidRPr="00F81493">
              <w:rPr>
                <w:rFonts w:ascii="Arial" w:hAnsi="Arial" w:cs="Arial"/>
                <w:sz w:val="20"/>
                <w:szCs w:val="20"/>
              </w:rPr>
              <w:t>yellowpage</w:t>
            </w:r>
            <w:proofErr w:type="spellEnd"/>
            <w:r w:rsidRPr="00F81493">
              <w:rPr>
                <w:rFonts w:ascii="Arial" w:hAnsi="Arial" w:cs="Arial"/>
                <w:sz w:val="20"/>
                <w:szCs w:val="20"/>
              </w:rPr>
              <w:t xml:space="preserve">’ via email two to three times a semester, plus various other forms of </w:t>
            </w:r>
            <w:proofErr w:type="spellStart"/>
            <w:r w:rsidRPr="00F81493">
              <w:rPr>
                <w:rFonts w:ascii="Arial" w:hAnsi="Arial" w:cs="Arial"/>
                <w:sz w:val="20"/>
                <w:szCs w:val="20"/>
              </w:rPr>
              <w:t>outreatch</w:t>
            </w:r>
            <w:proofErr w:type="spellEnd"/>
            <w:r w:rsidRPr="00F81493">
              <w:rPr>
                <w:rFonts w:ascii="Arial" w:hAnsi="Arial" w:cs="Arial"/>
                <w:sz w:val="20"/>
                <w:szCs w:val="20"/>
              </w:rPr>
              <w:t xml:space="preserve"> indicate the intent to communicate as fully as possible with the campus. </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62431C" w:rsidRPr="00527349" w:rsidRDefault="00C80575" w:rsidP="00E90F24">
            <w:pPr>
              <w:rPr>
                <w:rFonts w:ascii="Arial" w:hAnsi="Arial" w:cs="Arial"/>
                <w:i/>
                <w:sz w:val="20"/>
                <w:szCs w:val="20"/>
              </w:rPr>
            </w:pPr>
            <w:r>
              <w:rPr>
                <w:rFonts w:ascii="Arial" w:hAnsi="Arial" w:cs="Arial"/>
                <w:i/>
                <w:sz w:val="20"/>
                <w:szCs w:val="20"/>
              </w:rPr>
              <w:t xml:space="preserve">The department has developed a tutor survey and uses the results for improvement.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915BDB">
              <w:rPr>
                <w:rFonts w:ascii="Arial" w:hAnsi="Arial" w:cs="Arial"/>
                <w:b/>
                <w:sz w:val="20"/>
                <w:szCs w:val="20"/>
              </w:rPr>
              <w:t xml:space="preserve">  Meets</w:t>
            </w:r>
          </w:p>
          <w:p w:rsidR="0062431C" w:rsidRDefault="0062431C" w:rsidP="00E90F24">
            <w:pPr>
              <w:rPr>
                <w:rFonts w:ascii="Arial" w:hAnsi="Arial" w:cs="Arial"/>
                <w:b/>
                <w:sz w:val="20"/>
                <w:szCs w:val="20"/>
              </w:rPr>
            </w:pPr>
          </w:p>
          <w:p w:rsidR="0062431C" w:rsidRPr="00C80575" w:rsidRDefault="00C80575" w:rsidP="00E90F24">
            <w:pPr>
              <w:rPr>
                <w:rFonts w:ascii="Arial" w:hAnsi="Arial" w:cs="Arial"/>
                <w:sz w:val="20"/>
                <w:szCs w:val="20"/>
              </w:rPr>
            </w:pPr>
            <w:r w:rsidRPr="00C80575">
              <w:rPr>
                <w:rFonts w:ascii="Arial" w:hAnsi="Arial" w:cs="Arial"/>
                <w:sz w:val="20"/>
                <w:szCs w:val="20"/>
              </w:rPr>
              <w:t xml:space="preserve">The Tutor Survey is to be commended as one way to obtain feedback from the users of its services. The department reviews the survey and makes </w:t>
            </w:r>
            <w:r w:rsidR="00915BDB">
              <w:rPr>
                <w:rFonts w:ascii="Arial" w:hAnsi="Arial" w:cs="Arial"/>
                <w:sz w:val="20"/>
                <w:szCs w:val="20"/>
              </w:rPr>
              <w:t>improvements</w:t>
            </w:r>
            <w:r w:rsidRPr="00C80575">
              <w:rPr>
                <w:rFonts w:ascii="Arial" w:hAnsi="Arial" w:cs="Arial"/>
                <w:sz w:val="20"/>
                <w:szCs w:val="20"/>
              </w:rPr>
              <w:t xml:space="preserve"> on the basis of the results. </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62431C" w:rsidRDefault="00C80575" w:rsidP="00E90F24">
            <w:pPr>
              <w:rPr>
                <w:rFonts w:ascii="Arial" w:hAnsi="Arial" w:cs="Arial"/>
                <w:i/>
                <w:sz w:val="20"/>
                <w:szCs w:val="20"/>
              </w:rPr>
            </w:pPr>
            <w:r>
              <w:rPr>
                <w:rFonts w:ascii="Arial" w:hAnsi="Arial" w:cs="Arial"/>
                <w:i/>
                <w:sz w:val="20"/>
                <w:szCs w:val="20"/>
              </w:rPr>
              <w:t xml:space="preserve">Tutor Training, or ACAD 010, has course outlines and three student learning outcomes. </w:t>
            </w:r>
          </w:p>
          <w:p w:rsidR="00C80575" w:rsidRPr="00527349" w:rsidRDefault="00C80575" w:rsidP="00E90F24">
            <w:pPr>
              <w:rPr>
                <w:rFonts w:ascii="Arial" w:hAnsi="Arial" w:cs="Arial"/>
                <w:i/>
                <w:sz w:val="20"/>
                <w:szCs w:val="20"/>
              </w:rPr>
            </w:pPr>
            <w:r>
              <w:rPr>
                <w:rFonts w:ascii="Arial" w:hAnsi="Arial" w:cs="Arial"/>
                <w:i/>
                <w:sz w:val="20"/>
                <w:szCs w:val="20"/>
              </w:rPr>
              <w:t>There are no SLOs for ACAD 600A-</w:t>
            </w:r>
            <w:proofErr w:type="gramStart"/>
            <w:r>
              <w:rPr>
                <w:rFonts w:ascii="Arial" w:hAnsi="Arial" w:cs="Arial"/>
                <w:i/>
                <w:sz w:val="20"/>
                <w:szCs w:val="20"/>
              </w:rPr>
              <w:t>1x4,</w:t>
            </w:r>
            <w:proofErr w:type="gramEnd"/>
            <w:r>
              <w:rPr>
                <w:rFonts w:ascii="Arial" w:hAnsi="Arial" w:cs="Arial"/>
                <w:i/>
                <w:sz w:val="20"/>
                <w:szCs w:val="20"/>
              </w:rPr>
              <w:t xml:space="preserve"> however, plans are in place to create a survey that would attempt to correlate usage vs. success in coursework.</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915BDB">
              <w:rPr>
                <w:rFonts w:ascii="Arial" w:hAnsi="Arial" w:cs="Arial"/>
                <w:b/>
                <w:sz w:val="20"/>
                <w:szCs w:val="20"/>
              </w:rPr>
              <w:t xml:space="preserve"> Does not meet</w:t>
            </w:r>
          </w:p>
          <w:p w:rsidR="00C80575" w:rsidRDefault="00C80575" w:rsidP="00E90F24">
            <w:pPr>
              <w:rPr>
                <w:rFonts w:ascii="Arial" w:hAnsi="Arial" w:cs="Arial"/>
                <w:b/>
                <w:sz w:val="20"/>
                <w:szCs w:val="20"/>
              </w:rPr>
            </w:pPr>
          </w:p>
          <w:p w:rsidR="00C80575" w:rsidRPr="00C64556" w:rsidRDefault="00C80575" w:rsidP="00E90F24">
            <w:pPr>
              <w:rPr>
                <w:rFonts w:ascii="Arial" w:hAnsi="Arial" w:cs="Arial"/>
                <w:sz w:val="20"/>
                <w:szCs w:val="20"/>
              </w:rPr>
            </w:pPr>
            <w:r w:rsidRPr="00C64556">
              <w:rPr>
                <w:rFonts w:ascii="Arial" w:hAnsi="Arial" w:cs="Arial"/>
                <w:sz w:val="20"/>
                <w:szCs w:val="20"/>
              </w:rPr>
              <w:t xml:space="preserve">The department has student learning outcomes for one area, ACAD 010. </w:t>
            </w:r>
            <w:r w:rsidR="00915BDB">
              <w:rPr>
                <w:rFonts w:ascii="Arial" w:hAnsi="Arial" w:cs="Arial"/>
                <w:sz w:val="20"/>
                <w:szCs w:val="20"/>
              </w:rPr>
              <w:t xml:space="preserve">ACAD 600 </w:t>
            </w:r>
            <w:proofErr w:type="gramStart"/>
            <w:r w:rsidR="00915BDB">
              <w:rPr>
                <w:rFonts w:ascii="Arial" w:hAnsi="Arial" w:cs="Arial"/>
                <w:sz w:val="20"/>
                <w:szCs w:val="20"/>
              </w:rPr>
              <w:t>a</w:t>
            </w:r>
            <w:r w:rsidRPr="00C64556">
              <w:rPr>
                <w:rFonts w:ascii="Arial" w:hAnsi="Arial" w:cs="Arial"/>
                <w:sz w:val="20"/>
                <w:szCs w:val="20"/>
              </w:rPr>
              <w:t>re</w:t>
            </w:r>
            <w:proofErr w:type="gramEnd"/>
            <w:r w:rsidRPr="00C64556">
              <w:rPr>
                <w:rFonts w:ascii="Arial" w:hAnsi="Arial" w:cs="Arial"/>
                <w:sz w:val="20"/>
                <w:szCs w:val="20"/>
              </w:rPr>
              <w:t xml:space="preserve"> in the development</w:t>
            </w:r>
            <w:r w:rsidR="00915BDB">
              <w:rPr>
                <w:rFonts w:ascii="Arial" w:hAnsi="Arial" w:cs="Arial"/>
                <w:sz w:val="20"/>
                <w:szCs w:val="20"/>
              </w:rPr>
              <w:t>al</w:t>
            </w:r>
            <w:r w:rsidRPr="00C64556">
              <w:rPr>
                <w:rFonts w:ascii="Arial" w:hAnsi="Arial" w:cs="Arial"/>
                <w:sz w:val="20"/>
                <w:szCs w:val="20"/>
              </w:rPr>
              <w:t xml:space="preserve"> stage. They have not cycled in the assessment of the outcomes</w:t>
            </w:r>
            <w:r w:rsidR="00C64556" w:rsidRPr="00C64556">
              <w:rPr>
                <w:rFonts w:ascii="Arial" w:hAnsi="Arial" w:cs="Arial"/>
                <w:sz w:val="20"/>
                <w:szCs w:val="20"/>
              </w:rPr>
              <w:t xml:space="preserve"> for the current SLO</w:t>
            </w:r>
            <w:r w:rsidR="00915BDB">
              <w:rPr>
                <w:rFonts w:ascii="Arial" w:hAnsi="Arial" w:cs="Arial"/>
                <w:sz w:val="20"/>
                <w:szCs w:val="20"/>
              </w:rPr>
              <w:t>s</w:t>
            </w:r>
            <w:r w:rsidRPr="00C64556">
              <w:rPr>
                <w:rFonts w:ascii="Arial" w:hAnsi="Arial" w:cs="Arial"/>
                <w:sz w:val="20"/>
                <w:szCs w:val="20"/>
              </w:rPr>
              <w:t xml:space="preserve"> so they are unable to use information to improve </w:t>
            </w:r>
            <w:r w:rsidR="00C64556" w:rsidRPr="00C64556">
              <w:rPr>
                <w:rFonts w:ascii="Arial" w:hAnsi="Arial" w:cs="Arial"/>
                <w:sz w:val="20"/>
                <w:szCs w:val="20"/>
              </w:rPr>
              <w:t xml:space="preserve">effectiveness. </w:t>
            </w:r>
            <w:r w:rsidRPr="00C64556">
              <w:rPr>
                <w:rFonts w:ascii="Arial" w:hAnsi="Arial" w:cs="Arial"/>
                <w:sz w:val="20"/>
                <w:szCs w:val="20"/>
              </w:rPr>
              <w:t>Plans are in place to develop additional SLOs for</w:t>
            </w:r>
            <w:r w:rsidR="00915BDB">
              <w:rPr>
                <w:rFonts w:ascii="Arial" w:hAnsi="Arial" w:cs="Arial"/>
                <w:sz w:val="20"/>
                <w:szCs w:val="20"/>
              </w:rPr>
              <w:t xml:space="preserve"> the other course</w:t>
            </w:r>
            <w:r w:rsidRPr="00C64556">
              <w:rPr>
                <w:rFonts w:ascii="Arial" w:hAnsi="Arial" w:cs="Arial"/>
                <w:sz w:val="20"/>
                <w:szCs w:val="20"/>
              </w:rPr>
              <w:t xml:space="preserve">, however, it is dependent upon obtaining </w:t>
            </w:r>
            <w:proofErr w:type="spellStart"/>
            <w:r w:rsidRPr="00C64556">
              <w:rPr>
                <w:rFonts w:ascii="Arial" w:hAnsi="Arial" w:cs="Arial"/>
                <w:sz w:val="20"/>
                <w:szCs w:val="20"/>
              </w:rPr>
              <w:t>correlational</w:t>
            </w:r>
            <w:proofErr w:type="spellEnd"/>
            <w:r w:rsidRPr="00C64556">
              <w:rPr>
                <w:rFonts w:ascii="Arial" w:hAnsi="Arial" w:cs="Arial"/>
                <w:sz w:val="20"/>
                <w:szCs w:val="20"/>
              </w:rPr>
              <w:t xml:space="preserve"> information. </w:t>
            </w:r>
            <w:r w:rsidR="00C64556">
              <w:rPr>
                <w:rFonts w:ascii="Arial" w:hAnsi="Arial" w:cs="Arial"/>
                <w:sz w:val="20"/>
                <w:szCs w:val="20"/>
              </w:rPr>
              <w:t xml:space="preserve">Although they have made some program changes such as placing ACAD 010 on Blackboard they indicate that having no FT faculty to write and/or update curriculum and develop SLOs is a problem. In addition, funding for </w:t>
            </w:r>
            <w:proofErr w:type="spellStart"/>
            <w:r w:rsidR="00C64556">
              <w:rPr>
                <w:rFonts w:ascii="Arial" w:hAnsi="Arial" w:cs="Arial"/>
                <w:sz w:val="20"/>
                <w:szCs w:val="20"/>
              </w:rPr>
              <w:t>TutorTrac</w:t>
            </w:r>
            <w:proofErr w:type="spellEnd"/>
            <w:r w:rsidR="00C64556">
              <w:rPr>
                <w:rFonts w:ascii="Arial" w:hAnsi="Arial" w:cs="Arial"/>
                <w:sz w:val="20"/>
                <w:szCs w:val="20"/>
              </w:rPr>
              <w:t xml:space="preserve"> has been denied, thus it is difficult to obtain data. The team recommends that faculty in the library, the Coordinator of Professional Development, along with those in areas which use the tutor </w:t>
            </w:r>
            <w:proofErr w:type="gramStart"/>
            <w:r w:rsidR="00C64556">
              <w:rPr>
                <w:rFonts w:ascii="Arial" w:hAnsi="Arial" w:cs="Arial"/>
                <w:sz w:val="20"/>
                <w:szCs w:val="20"/>
              </w:rPr>
              <w:t>program  work</w:t>
            </w:r>
            <w:proofErr w:type="gramEnd"/>
            <w:r w:rsidR="00C64556">
              <w:rPr>
                <w:rFonts w:ascii="Arial" w:hAnsi="Arial" w:cs="Arial"/>
                <w:sz w:val="20"/>
                <w:szCs w:val="20"/>
              </w:rPr>
              <w:t xml:space="preserve"> with the department to develop SLOs and engage in suggestions on how to measure them. The institutional researcher and research assistant should be included in the assessment discussion to support the development of various measurements. </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527349" w:rsidRDefault="0062431C"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Mission and Purpose</w:t>
            </w:r>
          </w:p>
        </w:tc>
        <w:tc>
          <w:tcPr>
            <w:tcW w:w="0" w:type="auto"/>
          </w:tcPr>
          <w:p w:rsidR="0062431C" w:rsidRPr="00527349" w:rsidRDefault="0062431C" w:rsidP="00E90F24">
            <w:pPr>
              <w:rPr>
                <w:rFonts w:ascii="Arial" w:hAnsi="Arial" w:cs="Arial"/>
                <w:i/>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527349" w:rsidRPr="00A35BD7" w:rsidTr="00E90F24">
        <w:trPr>
          <w:tblHeader/>
        </w:trPr>
        <w:tc>
          <w:tcPr>
            <w:tcW w:w="0" w:type="auto"/>
            <w:gridSpan w:val="3"/>
          </w:tcPr>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r w:rsidR="00915BDB">
              <w:rPr>
                <w:rFonts w:ascii="Arial" w:hAnsi="Arial" w:cs="Arial"/>
                <w:b/>
                <w:sz w:val="20"/>
                <w:szCs w:val="20"/>
              </w:rPr>
              <w:t xml:space="preserve"> Meets</w:t>
            </w:r>
          </w:p>
          <w:p w:rsidR="00527349" w:rsidRDefault="00527349" w:rsidP="00E90F24">
            <w:pPr>
              <w:rPr>
                <w:rFonts w:ascii="Arial" w:hAnsi="Arial" w:cs="Arial"/>
                <w:b/>
                <w:sz w:val="20"/>
                <w:szCs w:val="20"/>
              </w:rPr>
            </w:pPr>
          </w:p>
          <w:p w:rsidR="00527349" w:rsidRPr="00C64556" w:rsidRDefault="00C64556" w:rsidP="00E90F24">
            <w:pPr>
              <w:rPr>
                <w:rFonts w:ascii="Arial" w:hAnsi="Arial" w:cs="Arial"/>
                <w:sz w:val="20"/>
                <w:szCs w:val="20"/>
              </w:rPr>
            </w:pPr>
            <w:r w:rsidRPr="00C64556">
              <w:rPr>
                <w:rFonts w:ascii="Arial" w:hAnsi="Arial" w:cs="Arial"/>
                <w:sz w:val="20"/>
                <w:szCs w:val="20"/>
              </w:rPr>
              <w:t>Their mission supports the college’s mission.</w:t>
            </w:r>
          </w:p>
          <w:p w:rsidR="00527349" w:rsidRDefault="00527349" w:rsidP="00E90F24">
            <w:pPr>
              <w:rPr>
                <w:rFonts w:ascii="Arial" w:hAnsi="Arial" w:cs="Arial"/>
                <w:b/>
                <w:sz w:val="20"/>
                <w:szCs w:val="20"/>
              </w:rPr>
            </w:pPr>
          </w:p>
          <w:p w:rsidR="00527349" w:rsidRPr="00A17BB2"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62431C" w:rsidRPr="00527349" w:rsidRDefault="00C64556" w:rsidP="00E90F24">
            <w:pPr>
              <w:rPr>
                <w:rFonts w:ascii="Arial" w:hAnsi="Arial" w:cs="Arial"/>
                <w:i/>
                <w:sz w:val="20"/>
                <w:szCs w:val="20"/>
                <w:highlight w:val="yellow"/>
              </w:rPr>
            </w:pPr>
            <w:r>
              <w:rPr>
                <w:rFonts w:ascii="Arial" w:hAnsi="Arial" w:cs="Arial"/>
                <w:i/>
                <w:sz w:val="20"/>
                <w:szCs w:val="20"/>
              </w:rPr>
              <w:t xml:space="preserve">Unfortunately, </w:t>
            </w:r>
            <w:proofErr w:type="spellStart"/>
            <w:r>
              <w:rPr>
                <w:rFonts w:ascii="Arial" w:hAnsi="Arial" w:cs="Arial"/>
                <w:i/>
                <w:sz w:val="20"/>
                <w:szCs w:val="20"/>
              </w:rPr>
              <w:t>Datatel</w:t>
            </w:r>
            <w:proofErr w:type="spellEnd"/>
            <w:r>
              <w:rPr>
                <w:rFonts w:ascii="Arial" w:hAnsi="Arial" w:cs="Arial"/>
                <w:i/>
                <w:sz w:val="20"/>
                <w:szCs w:val="20"/>
              </w:rPr>
              <w:t xml:space="preserve"> does not warehouse data pertinent to productivity for this area. </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r w:rsidR="00915BDB">
              <w:rPr>
                <w:rFonts w:ascii="Arial" w:hAnsi="Arial" w:cs="Arial"/>
                <w:b/>
                <w:sz w:val="20"/>
                <w:szCs w:val="20"/>
              </w:rPr>
              <w:t xml:space="preserve"> Meets</w:t>
            </w:r>
          </w:p>
          <w:p w:rsidR="00915BDB" w:rsidRDefault="00915BDB" w:rsidP="00E90F24">
            <w:pPr>
              <w:rPr>
                <w:rFonts w:ascii="Arial" w:hAnsi="Arial" w:cs="Arial"/>
                <w:b/>
                <w:sz w:val="20"/>
                <w:szCs w:val="20"/>
              </w:rPr>
            </w:pPr>
          </w:p>
          <w:p w:rsidR="00527349" w:rsidRPr="00C64556" w:rsidRDefault="00C64556" w:rsidP="00E90F24">
            <w:pPr>
              <w:rPr>
                <w:rFonts w:ascii="Arial" w:hAnsi="Arial" w:cs="Arial"/>
                <w:sz w:val="20"/>
                <w:szCs w:val="20"/>
              </w:rPr>
            </w:pPr>
            <w:r w:rsidRPr="00C64556">
              <w:rPr>
                <w:rFonts w:ascii="Arial" w:hAnsi="Arial" w:cs="Arial"/>
                <w:sz w:val="20"/>
                <w:szCs w:val="20"/>
              </w:rPr>
              <w:t>The tutoring area produces “in house” data on hours of usage per semester. The area has increased the number of students needing its service since 2008.</w:t>
            </w:r>
            <w:r>
              <w:rPr>
                <w:rFonts w:ascii="Arial" w:hAnsi="Arial" w:cs="Arial"/>
                <w:sz w:val="20"/>
                <w:szCs w:val="20"/>
              </w:rPr>
              <w:t xml:space="preserve"> </w:t>
            </w:r>
            <w:r w:rsidR="00915BDB">
              <w:rPr>
                <w:rFonts w:ascii="Arial" w:hAnsi="Arial" w:cs="Arial"/>
                <w:sz w:val="20"/>
                <w:szCs w:val="20"/>
              </w:rPr>
              <w:t xml:space="preserve">It is suggested that once SARS has been implemented that the tutoring area work with the DETS personnel on supporting data for student use and success. </w:t>
            </w:r>
          </w:p>
          <w:p w:rsidR="00527349" w:rsidRPr="00A35BD7"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62431C" w:rsidRPr="00527349" w:rsidRDefault="00BF2069" w:rsidP="00E90F24">
            <w:pPr>
              <w:rPr>
                <w:rFonts w:ascii="Arial" w:hAnsi="Arial" w:cs="Arial"/>
                <w:i/>
                <w:sz w:val="20"/>
                <w:szCs w:val="20"/>
              </w:rPr>
            </w:pPr>
            <w:r>
              <w:rPr>
                <w:rFonts w:ascii="Arial" w:hAnsi="Arial" w:cs="Arial"/>
                <w:i/>
                <w:sz w:val="20"/>
                <w:szCs w:val="20"/>
              </w:rPr>
              <w:t xml:space="preserve">Some content review is not up to date. </w:t>
            </w:r>
          </w:p>
        </w:tc>
        <w:tc>
          <w:tcPr>
            <w:tcW w:w="0" w:type="auto"/>
          </w:tcPr>
          <w:p w:rsidR="0062431C" w:rsidRPr="00527349" w:rsidRDefault="0062431C" w:rsidP="00BF2069">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915BDB">
              <w:rPr>
                <w:rFonts w:ascii="Arial" w:hAnsi="Arial" w:cs="Arial"/>
                <w:b/>
                <w:sz w:val="20"/>
                <w:szCs w:val="20"/>
              </w:rPr>
              <w:t xml:space="preserve"> Meets</w:t>
            </w:r>
          </w:p>
          <w:p w:rsidR="00915BDB" w:rsidRDefault="00915BDB" w:rsidP="00E90F24">
            <w:pPr>
              <w:rPr>
                <w:rFonts w:ascii="Arial" w:hAnsi="Arial" w:cs="Arial"/>
                <w:b/>
                <w:sz w:val="20"/>
                <w:szCs w:val="20"/>
              </w:rPr>
            </w:pPr>
          </w:p>
          <w:p w:rsidR="0062431C" w:rsidRPr="001832B0" w:rsidRDefault="001832B0" w:rsidP="00E90F24">
            <w:pPr>
              <w:rPr>
                <w:rFonts w:ascii="Arial" w:hAnsi="Arial" w:cs="Arial"/>
                <w:sz w:val="20"/>
                <w:szCs w:val="20"/>
              </w:rPr>
            </w:pPr>
            <w:r>
              <w:rPr>
                <w:rFonts w:ascii="Arial" w:hAnsi="Arial" w:cs="Arial"/>
                <w:sz w:val="20"/>
                <w:szCs w:val="20"/>
              </w:rPr>
              <w:t>Currently they do not have any applicable courses to articulate.</w:t>
            </w:r>
            <w:r w:rsidR="00BF2069">
              <w:rPr>
                <w:rFonts w:ascii="Arial" w:hAnsi="Arial" w:cs="Arial"/>
                <w:sz w:val="20"/>
                <w:szCs w:val="20"/>
              </w:rPr>
              <w:t xml:space="preserve"> </w:t>
            </w:r>
            <w:r w:rsidR="00915BDB">
              <w:rPr>
                <w:rFonts w:ascii="Arial" w:hAnsi="Arial" w:cs="Arial"/>
                <w:sz w:val="20"/>
                <w:szCs w:val="20"/>
              </w:rPr>
              <w:t>C</w:t>
            </w:r>
            <w:r w:rsidR="00BF2069">
              <w:rPr>
                <w:rFonts w:ascii="Arial" w:hAnsi="Arial" w:cs="Arial"/>
                <w:sz w:val="20"/>
                <w:szCs w:val="20"/>
              </w:rPr>
              <w:t>ontent review is up to date.</w:t>
            </w:r>
            <w:r w:rsidR="00915BDB">
              <w:rPr>
                <w:rFonts w:ascii="Arial" w:hAnsi="Arial" w:cs="Arial"/>
                <w:sz w:val="20"/>
                <w:szCs w:val="20"/>
              </w:rPr>
              <w:t xml:space="preserve"> General Studies, ACAD600IX4 is out of date and should be addressed or eliminated. </w:t>
            </w:r>
          </w:p>
          <w:p w:rsidR="001832B0" w:rsidRPr="00A17BB2" w:rsidRDefault="001832B0"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Trends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73630E">
              <w:rPr>
                <w:rFonts w:ascii="Arial" w:hAnsi="Arial" w:cs="Arial"/>
                <w:b/>
                <w:sz w:val="20"/>
                <w:szCs w:val="20"/>
              </w:rPr>
              <w:t xml:space="preserve"> Meets</w:t>
            </w:r>
          </w:p>
          <w:p w:rsidR="0062431C" w:rsidRPr="00F0133D" w:rsidRDefault="00F0133D" w:rsidP="00E90F24">
            <w:pPr>
              <w:rPr>
                <w:rFonts w:ascii="Arial" w:hAnsi="Arial" w:cs="Arial"/>
                <w:sz w:val="20"/>
                <w:szCs w:val="20"/>
              </w:rPr>
            </w:pPr>
            <w:r w:rsidRPr="00F0133D">
              <w:rPr>
                <w:rFonts w:ascii="Arial" w:hAnsi="Arial" w:cs="Arial"/>
                <w:sz w:val="20"/>
                <w:szCs w:val="20"/>
              </w:rPr>
              <w:t>The program has identified a number of creative ways the program serves faculty and students (small group tutoring, using AGS Honor students, staffing with FWS students etc.</w:t>
            </w:r>
            <w:r w:rsidR="0073630E">
              <w:rPr>
                <w:rFonts w:ascii="Arial" w:hAnsi="Arial" w:cs="Arial"/>
                <w:sz w:val="20"/>
                <w:szCs w:val="20"/>
              </w:rPr>
              <w:t xml:space="preserve">). </w:t>
            </w:r>
            <w:r w:rsidRPr="00F0133D">
              <w:rPr>
                <w:rFonts w:ascii="Arial" w:hAnsi="Arial" w:cs="Arial"/>
                <w:sz w:val="20"/>
                <w:szCs w:val="20"/>
              </w:rPr>
              <w:t xml:space="preserve"> In addition, the development of “Hurl-a-Squirrel</w:t>
            </w:r>
            <w:r w:rsidR="0073630E">
              <w:rPr>
                <w:rFonts w:ascii="Arial" w:hAnsi="Arial" w:cs="Arial"/>
                <w:sz w:val="20"/>
                <w:szCs w:val="20"/>
              </w:rPr>
              <w:t>”</w:t>
            </w:r>
            <w:r w:rsidRPr="00F0133D">
              <w:rPr>
                <w:rFonts w:ascii="Arial" w:hAnsi="Arial" w:cs="Arial"/>
                <w:sz w:val="20"/>
                <w:szCs w:val="20"/>
              </w:rPr>
              <w:t xml:space="preserve"> Thursdays and Mozart Mondays demonstrate their attention to innovative ways to help students. </w:t>
            </w:r>
          </w:p>
          <w:p w:rsidR="0062431C" w:rsidRPr="00172C6A"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lastRenderedPageBreak/>
              <w:t>Accomplishments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62431C" w:rsidRPr="00F0133D" w:rsidRDefault="0062431C" w:rsidP="00E90F24">
            <w:pPr>
              <w:rPr>
                <w:rFonts w:ascii="Arial" w:hAnsi="Arial" w:cs="Arial"/>
                <w:i/>
                <w:color w:val="FF0000"/>
                <w:sz w:val="20"/>
                <w:szCs w:val="20"/>
                <w:highlight w:val="yellow"/>
              </w:rPr>
            </w:pPr>
            <w:r w:rsidRPr="00F0133D">
              <w:rPr>
                <w:rFonts w:ascii="Arial" w:hAnsi="Arial" w:cs="Arial"/>
                <w:i/>
                <w:color w:val="FF0000"/>
                <w:sz w:val="20"/>
                <w:szCs w:val="20"/>
              </w:rPr>
              <w:t>The program incorporates substantial accomplishments and strengths into planning.</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r w:rsidR="0073630E">
              <w:rPr>
                <w:rFonts w:ascii="Arial" w:hAnsi="Arial" w:cs="Arial"/>
                <w:b/>
                <w:sz w:val="20"/>
                <w:szCs w:val="20"/>
              </w:rPr>
              <w:t xml:space="preserve">  Meets</w:t>
            </w:r>
          </w:p>
          <w:p w:rsidR="0073630E" w:rsidRDefault="0073630E" w:rsidP="00E90F24">
            <w:pPr>
              <w:rPr>
                <w:rFonts w:ascii="Arial" w:hAnsi="Arial" w:cs="Arial"/>
                <w:b/>
                <w:sz w:val="20"/>
                <w:szCs w:val="20"/>
              </w:rPr>
            </w:pPr>
          </w:p>
          <w:p w:rsidR="00527349" w:rsidRPr="00725784" w:rsidRDefault="00A455C8" w:rsidP="00E90F24">
            <w:pPr>
              <w:rPr>
                <w:rFonts w:ascii="Arial" w:hAnsi="Arial" w:cs="Arial"/>
                <w:sz w:val="20"/>
                <w:szCs w:val="20"/>
              </w:rPr>
            </w:pPr>
            <w:r w:rsidRPr="00725784">
              <w:rPr>
                <w:rFonts w:ascii="Arial" w:hAnsi="Arial" w:cs="Arial"/>
                <w:sz w:val="20"/>
                <w:szCs w:val="20"/>
              </w:rPr>
              <w:t>The program is dedicated to bring high levels of accomplishment to their work and instilling that ethic with their peer tutors. They have developed successful “in reach” to the campus by presenting programs to traditional and non-traditional audiences. Their ‘</w:t>
            </w:r>
            <w:proofErr w:type="spellStart"/>
            <w:r w:rsidRPr="00725784">
              <w:rPr>
                <w:rFonts w:ascii="Arial" w:hAnsi="Arial" w:cs="Arial"/>
                <w:sz w:val="20"/>
                <w:szCs w:val="20"/>
              </w:rPr>
              <w:t>yellowpage</w:t>
            </w:r>
            <w:proofErr w:type="spellEnd"/>
            <w:r w:rsidRPr="00725784">
              <w:rPr>
                <w:rFonts w:ascii="Arial" w:hAnsi="Arial" w:cs="Arial"/>
                <w:sz w:val="20"/>
                <w:szCs w:val="20"/>
              </w:rPr>
              <w:t>’ publication welcome</w:t>
            </w:r>
            <w:r w:rsidR="0073630E">
              <w:rPr>
                <w:rFonts w:ascii="Arial" w:hAnsi="Arial" w:cs="Arial"/>
                <w:sz w:val="20"/>
                <w:szCs w:val="20"/>
              </w:rPr>
              <w:t>s</w:t>
            </w:r>
            <w:r w:rsidRPr="00725784">
              <w:rPr>
                <w:rFonts w:ascii="Arial" w:hAnsi="Arial" w:cs="Arial"/>
                <w:sz w:val="20"/>
                <w:szCs w:val="20"/>
              </w:rPr>
              <w:t xml:space="preserve"> all areas of the campus </w:t>
            </w:r>
            <w:r w:rsidR="0073630E">
              <w:rPr>
                <w:rFonts w:ascii="Arial" w:hAnsi="Arial" w:cs="Arial"/>
                <w:sz w:val="20"/>
                <w:szCs w:val="20"/>
              </w:rPr>
              <w:t xml:space="preserve">inviting students </w:t>
            </w:r>
            <w:r w:rsidRPr="00725784">
              <w:rPr>
                <w:rFonts w:ascii="Arial" w:hAnsi="Arial" w:cs="Arial"/>
                <w:sz w:val="20"/>
                <w:szCs w:val="20"/>
              </w:rPr>
              <w:t xml:space="preserve">to use tutoring services. </w:t>
            </w:r>
            <w:r w:rsidR="0056130E">
              <w:rPr>
                <w:rFonts w:ascii="Arial" w:hAnsi="Arial" w:cs="Arial"/>
                <w:sz w:val="20"/>
                <w:szCs w:val="20"/>
              </w:rPr>
              <w:t xml:space="preserve">Hours of operation are strong in meeting students’ needs. </w:t>
            </w:r>
          </w:p>
          <w:p w:rsidR="00527349" w:rsidRDefault="00527349" w:rsidP="00E90F24">
            <w:pPr>
              <w:rPr>
                <w:rFonts w:ascii="Arial" w:hAnsi="Arial" w:cs="Arial"/>
                <w:b/>
                <w:sz w:val="20"/>
                <w:szCs w:val="20"/>
              </w:rPr>
            </w:pPr>
          </w:p>
          <w:p w:rsidR="00527349" w:rsidRPr="00172C6A"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5D6564">
              <w:rPr>
                <w:rFonts w:ascii="Arial" w:hAnsi="Arial" w:cs="Arial"/>
                <w:b/>
                <w:sz w:val="20"/>
                <w:szCs w:val="20"/>
              </w:rPr>
              <w:t xml:space="preserve">  Meets</w:t>
            </w:r>
          </w:p>
          <w:p w:rsidR="005D6564" w:rsidRDefault="005D6564" w:rsidP="00E90F24">
            <w:pPr>
              <w:rPr>
                <w:rFonts w:ascii="Arial" w:hAnsi="Arial" w:cs="Arial"/>
                <w:b/>
                <w:sz w:val="20"/>
                <w:szCs w:val="20"/>
              </w:rPr>
            </w:pPr>
          </w:p>
          <w:p w:rsidR="0062431C" w:rsidRPr="0056130E" w:rsidRDefault="0056130E" w:rsidP="00E90F24">
            <w:pPr>
              <w:rPr>
                <w:rFonts w:ascii="Arial" w:hAnsi="Arial" w:cs="Arial"/>
                <w:sz w:val="20"/>
                <w:szCs w:val="20"/>
              </w:rPr>
            </w:pPr>
            <w:r w:rsidRPr="0056130E">
              <w:rPr>
                <w:rFonts w:ascii="Arial" w:hAnsi="Arial" w:cs="Arial"/>
                <w:sz w:val="20"/>
                <w:szCs w:val="20"/>
              </w:rPr>
              <w:t xml:space="preserve">The area has acknowledged their lack of relevant data and has attempted to remedy this. The team discussed possible solutions they need to explore. </w:t>
            </w:r>
            <w:r>
              <w:rPr>
                <w:rFonts w:ascii="Arial" w:hAnsi="Arial" w:cs="Arial"/>
                <w:sz w:val="20"/>
                <w:szCs w:val="20"/>
              </w:rPr>
              <w:t xml:space="preserve">They recognize </w:t>
            </w:r>
            <w:r w:rsidR="00D4622B">
              <w:rPr>
                <w:rFonts w:ascii="Arial" w:hAnsi="Arial" w:cs="Arial"/>
                <w:sz w:val="20"/>
                <w:szCs w:val="20"/>
              </w:rPr>
              <w:t>a weakness in the program by solely relying on peer tutoring.  The program would be</w:t>
            </w:r>
            <w:r>
              <w:rPr>
                <w:rFonts w:ascii="Arial" w:hAnsi="Arial" w:cs="Arial"/>
                <w:sz w:val="20"/>
                <w:szCs w:val="20"/>
              </w:rPr>
              <w:t xml:space="preserve"> strengthened by encouraging faculty</w:t>
            </w:r>
            <w:r w:rsidRPr="0056130E">
              <w:rPr>
                <w:rFonts w:ascii="Arial" w:hAnsi="Arial" w:cs="Arial"/>
                <w:sz w:val="20"/>
                <w:szCs w:val="20"/>
              </w:rPr>
              <w:t xml:space="preserve"> </w:t>
            </w:r>
            <w:r>
              <w:rPr>
                <w:rFonts w:ascii="Arial" w:hAnsi="Arial" w:cs="Arial"/>
                <w:sz w:val="20"/>
                <w:szCs w:val="20"/>
              </w:rPr>
              <w:t>to tutor</w:t>
            </w:r>
            <w:r w:rsidR="00D4622B">
              <w:rPr>
                <w:rFonts w:ascii="Arial" w:hAnsi="Arial" w:cs="Arial"/>
                <w:sz w:val="20"/>
                <w:szCs w:val="20"/>
              </w:rPr>
              <w:t xml:space="preserve"> within the center</w:t>
            </w:r>
            <w:r w:rsidRPr="0056130E">
              <w:rPr>
                <w:rFonts w:ascii="Arial" w:hAnsi="Arial" w:cs="Arial"/>
                <w:sz w:val="20"/>
                <w:szCs w:val="20"/>
              </w:rPr>
              <w:t xml:space="preserve">. </w:t>
            </w:r>
          </w:p>
          <w:p w:rsidR="0062431C" w:rsidRPr="0056130E" w:rsidRDefault="0062431C" w:rsidP="00E90F24">
            <w:pPr>
              <w:rPr>
                <w:rFonts w:ascii="Arial" w:hAnsi="Arial" w:cs="Arial"/>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62431C" w:rsidRPr="00A35BD7" w:rsidTr="00E90F24">
        <w:trPr>
          <w:tblHeader/>
        </w:trPr>
        <w:tc>
          <w:tcPr>
            <w:tcW w:w="0" w:type="auto"/>
          </w:tcPr>
          <w:p w:rsidR="0062431C" w:rsidRPr="00A35BD7" w:rsidRDefault="0062431C" w:rsidP="00E90F24">
            <w:pPr>
              <w:rPr>
                <w:rFonts w:ascii="Arial" w:hAnsi="Arial" w:cs="Arial"/>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0B5C65">
              <w:rPr>
                <w:rFonts w:ascii="Arial" w:hAnsi="Arial" w:cs="Arial"/>
                <w:b/>
                <w:sz w:val="20"/>
                <w:szCs w:val="20"/>
              </w:rPr>
              <w:t xml:space="preserve"> Meets</w:t>
            </w:r>
          </w:p>
          <w:p w:rsidR="0062431C" w:rsidRDefault="0062431C" w:rsidP="00E90F24">
            <w:pPr>
              <w:rPr>
                <w:rFonts w:ascii="Arial" w:hAnsi="Arial" w:cs="Arial"/>
                <w:b/>
                <w:sz w:val="20"/>
                <w:szCs w:val="20"/>
              </w:rPr>
            </w:pPr>
          </w:p>
          <w:p w:rsidR="0062431C" w:rsidRPr="000B5C65" w:rsidRDefault="00D40219" w:rsidP="00E90F24">
            <w:pPr>
              <w:rPr>
                <w:rFonts w:ascii="Arial" w:hAnsi="Arial" w:cs="Arial"/>
                <w:sz w:val="20"/>
                <w:szCs w:val="20"/>
              </w:rPr>
            </w:pPr>
            <w:r w:rsidRPr="000B5C65">
              <w:rPr>
                <w:rFonts w:ascii="Arial" w:hAnsi="Arial" w:cs="Arial"/>
                <w:sz w:val="20"/>
                <w:szCs w:val="20"/>
              </w:rPr>
              <w:t>The technology used within the center includes</w:t>
            </w:r>
            <w:r w:rsidR="000B5C65" w:rsidRPr="000B5C65">
              <w:rPr>
                <w:rFonts w:ascii="Arial" w:hAnsi="Arial" w:cs="Arial"/>
                <w:sz w:val="20"/>
                <w:szCs w:val="20"/>
              </w:rPr>
              <w:t xml:space="preserve"> Blackboard and </w:t>
            </w:r>
            <w:proofErr w:type="spellStart"/>
            <w:r w:rsidR="000B5C65" w:rsidRPr="000B5C65">
              <w:rPr>
                <w:rFonts w:ascii="Arial" w:hAnsi="Arial" w:cs="Arial"/>
                <w:sz w:val="20"/>
                <w:szCs w:val="20"/>
              </w:rPr>
              <w:t>WiFi</w:t>
            </w:r>
            <w:proofErr w:type="spellEnd"/>
            <w:r w:rsidRPr="000B5C65">
              <w:rPr>
                <w:rFonts w:ascii="Arial" w:hAnsi="Arial" w:cs="Arial"/>
                <w:sz w:val="20"/>
                <w:szCs w:val="20"/>
              </w:rPr>
              <w:t>.</w:t>
            </w:r>
            <w:r w:rsidR="000B5C65" w:rsidRPr="000B5C65">
              <w:rPr>
                <w:rFonts w:ascii="Arial" w:hAnsi="Arial" w:cs="Arial"/>
                <w:sz w:val="20"/>
                <w:szCs w:val="20"/>
              </w:rPr>
              <w:t xml:space="preserve"> A stronger interface with technology available within the campus for data collection and analysis is encouraged.</w:t>
            </w:r>
          </w:p>
          <w:p w:rsidR="00D40219" w:rsidRPr="000B5C65" w:rsidRDefault="00D40219" w:rsidP="00E90F24">
            <w:pPr>
              <w:rPr>
                <w:rFonts w:ascii="Arial" w:hAnsi="Arial" w:cs="Arial"/>
                <w:sz w:val="20"/>
                <w:szCs w:val="20"/>
              </w:rPr>
            </w:pPr>
            <w:r w:rsidRPr="000B5C65">
              <w:rPr>
                <w:rFonts w:ascii="Arial" w:hAnsi="Arial" w:cs="Arial"/>
                <w:sz w:val="20"/>
                <w:szCs w:val="20"/>
              </w:rPr>
              <w:t xml:space="preserve">The area is known for its warm, clean and welcoming environment so it meets the campus climate initiative. </w:t>
            </w:r>
          </w:p>
          <w:p w:rsidR="000B5C65" w:rsidRPr="000B5C65" w:rsidRDefault="000B5C65" w:rsidP="00E90F24">
            <w:pPr>
              <w:rPr>
                <w:rFonts w:ascii="Arial" w:hAnsi="Arial" w:cs="Arial"/>
                <w:sz w:val="20"/>
                <w:szCs w:val="20"/>
              </w:rPr>
            </w:pPr>
            <w:r w:rsidRPr="000B5C65">
              <w:rPr>
                <w:rFonts w:ascii="Arial" w:hAnsi="Arial" w:cs="Arial"/>
                <w:sz w:val="20"/>
                <w:szCs w:val="20"/>
              </w:rPr>
              <w:t>The center is interactive with many groups within the campus, creating strong partnerships. They also communicate</w:t>
            </w:r>
            <w:r>
              <w:rPr>
                <w:rFonts w:ascii="Arial" w:hAnsi="Arial" w:cs="Arial"/>
                <w:sz w:val="20"/>
                <w:szCs w:val="20"/>
              </w:rPr>
              <w:t>,</w:t>
            </w:r>
            <w:r w:rsidRPr="000B5C65">
              <w:rPr>
                <w:rFonts w:ascii="Arial" w:hAnsi="Arial" w:cs="Arial"/>
                <w:sz w:val="20"/>
                <w:szCs w:val="20"/>
              </w:rPr>
              <w:t xml:space="preserve"> share ideas and best practices with other colleges. </w:t>
            </w: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bl>
    <w:p w:rsidR="0062431C" w:rsidRPr="00F72114" w:rsidRDefault="0062431C" w:rsidP="0062431C">
      <w:pPr>
        <w:tabs>
          <w:tab w:val="left" w:pos="3060"/>
        </w:tabs>
        <w:rPr>
          <w:rFonts w:ascii="Arial" w:hAnsi="Arial" w:cs="Arial"/>
        </w:rPr>
      </w:pPr>
    </w:p>
    <w:p w:rsidR="0062431C" w:rsidRPr="00F72114" w:rsidRDefault="0062431C" w:rsidP="0062431C"/>
    <w:p w:rsidR="008B08DF" w:rsidRDefault="008B08DF" w:rsidP="0062539F">
      <w:pPr>
        <w:jc w:val="both"/>
        <w:rPr>
          <w:rFonts w:ascii="Arial" w:hAnsi="Arial" w:cs="Arial"/>
        </w:rPr>
      </w:pPr>
    </w:p>
    <w:sectPr w:rsidR="008B08DF"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032" w:rsidRDefault="00440032">
      <w:r>
        <w:separator/>
      </w:r>
    </w:p>
  </w:endnote>
  <w:endnote w:type="continuationSeparator" w:id="0">
    <w:p w:rsidR="00440032" w:rsidRDefault="004400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032" w:rsidRDefault="00440032">
      <w:r>
        <w:separator/>
      </w:r>
    </w:p>
  </w:footnote>
  <w:footnote w:type="continuationSeparator" w:id="0">
    <w:p w:rsidR="00440032" w:rsidRDefault="00440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9B" w:rsidRPr="00EE1ECD" w:rsidRDefault="0000529B" w:rsidP="00EE1ECD">
    <w:pPr>
      <w:pStyle w:val="Header"/>
      <w:jc w:val="center"/>
      <w:rPr>
        <w:b/>
      </w:rPr>
    </w:pPr>
    <w:r w:rsidRPr="003E5B91">
      <w:rPr>
        <w:b/>
      </w:rPr>
      <w:t xml:space="preserve">Page </w:t>
    </w:r>
    <w:r w:rsidR="009C423A" w:rsidRPr="003E5B91">
      <w:rPr>
        <w:b/>
      </w:rPr>
      <w:fldChar w:fldCharType="begin"/>
    </w:r>
    <w:r w:rsidRPr="003E5B91">
      <w:rPr>
        <w:b/>
      </w:rPr>
      <w:instrText xml:space="preserve"> PAGE </w:instrText>
    </w:r>
    <w:r w:rsidR="009C423A" w:rsidRPr="003E5B91">
      <w:rPr>
        <w:b/>
      </w:rPr>
      <w:fldChar w:fldCharType="separate"/>
    </w:r>
    <w:r w:rsidR="00BE2461">
      <w:rPr>
        <w:b/>
        <w:noProof/>
      </w:rPr>
      <w:t>1</w:t>
    </w:r>
    <w:r w:rsidR="009C423A" w:rsidRPr="003E5B91">
      <w:rPr>
        <w:b/>
      </w:rPr>
      <w:fldChar w:fldCharType="end"/>
    </w:r>
    <w:r w:rsidRPr="003E5B91">
      <w:rPr>
        <w:b/>
      </w:rPr>
      <w:t xml:space="preserve"> of </w:t>
    </w:r>
    <w:r w:rsidR="009C423A" w:rsidRPr="003E5B91">
      <w:rPr>
        <w:b/>
      </w:rPr>
      <w:fldChar w:fldCharType="begin"/>
    </w:r>
    <w:r w:rsidRPr="003E5B91">
      <w:rPr>
        <w:b/>
      </w:rPr>
      <w:instrText xml:space="preserve"> NUMPAGES </w:instrText>
    </w:r>
    <w:r w:rsidR="009C423A" w:rsidRPr="003E5B91">
      <w:rPr>
        <w:b/>
      </w:rPr>
      <w:fldChar w:fldCharType="separate"/>
    </w:r>
    <w:r w:rsidR="00BE2461">
      <w:rPr>
        <w:b/>
        <w:noProof/>
      </w:rPr>
      <w:t>4</w:t>
    </w:r>
    <w:r w:rsidR="009C423A"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156A00B4">
      <w:start w:val="4"/>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93778"/>
    <w:rsid w:val="0000529B"/>
    <w:rsid w:val="00005E98"/>
    <w:rsid w:val="000701BC"/>
    <w:rsid w:val="00081AD0"/>
    <w:rsid w:val="0009399F"/>
    <w:rsid w:val="000B5C65"/>
    <w:rsid w:val="000D06FC"/>
    <w:rsid w:val="000F1A8C"/>
    <w:rsid w:val="0015758F"/>
    <w:rsid w:val="00173D45"/>
    <w:rsid w:val="001832B0"/>
    <w:rsid w:val="001C66C9"/>
    <w:rsid w:val="0025743C"/>
    <w:rsid w:val="002850CA"/>
    <w:rsid w:val="002C37ED"/>
    <w:rsid w:val="002E3B89"/>
    <w:rsid w:val="002E595C"/>
    <w:rsid w:val="002F3911"/>
    <w:rsid w:val="00320333"/>
    <w:rsid w:val="003302F0"/>
    <w:rsid w:val="003D018D"/>
    <w:rsid w:val="003D32A4"/>
    <w:rsid w:val="003E22FB"/>
    <w:rsid w:val="003E5B91"/>
    <w:rsid w:val="003E6CC9"/>
    <w:rsid w:val="003F2782"/>
    <w:rsid w:val="003F2DDC"/>
    <w:rsid w:val="003F5BDF"/>
    <w:rsid w:val="00421EC7"/>
    <w:rsid w:val="00422D49"/>
    <w:rsid w:val="00437CEF"/>
    <w:rsid w:val="00440032"/>
    <w:rsid w:val="004940F4"/>
    <w:rsid w:val="004A5034"/>
    <w:rsid w:val="004D0A9A"/>
    <w:rsid w:val="004F22A7"/>
    <w:rsid w:val="00521083"/>
    <w:rsid w:val="00527349"/>
    <w:rsid w:val="005463D7"/>
    <w:rsid w:val="00556626"/>
    <w:rsid w:val="0056130E"/>
    <w:rsid w:val="005746D8"/>
    <w:rsid w:val="005B661B"/>
    <w:rsid w:val="005D6564"/>
    <w:rsid w:val="005E771F"/>
    <w:rsid w:val="0062431C"/>
    <w:rsid w:val="0062539F"/>
    <w:rsid w:val="006276DE"/>
    <w:rsid w:val="00690ED4"/>
    <w:rsid w:val="006D696A"/>
    <w:rsid w:val="00700C4C"/>
    <w:rsid w:val="00725784"/>
    <w:rsid w:val="00735FFE"/>
    <w:rsid w:val="0073630E"/>
    <w:rsid w:val="007439A5"/>
    <w:rsid w:val="007570F1"/>
    <w:rsid w:val="00815D34"/>
    <w:rsid w:val="00826949"/>
    <w:rsid w:val="00834321"/>
    <w:rsid w:val="0083793F"/>
    <w:rsid w:val="00851004"/>
    <w:rsid w:val="008761D6"/>
    <w:rsid w:val="00896F47"/>
    <w:rsid w:val="008B08DF"/>
    <w:rsid w:val="009029C2"/>
    <w:rsid w:val="00906F9F"/>
    <w:rsid w:val="00915BDB"/>
    <w:rsid w:val="00924890"/>
    <w:rsid w:val="009C423A"/>
    <w:rsid w:val="00A017DD"/>
    <w:rsid w:val="00A263AB"/>
    <w:rsid w:val="00A41D92"/>
    <w:rsid w:val="00A455C8"/>
    <w:rsid w:val="00A87CB4"/>
    <w:rsid w:val="00A913A3"/>
    <w:rsid w:val="00AA33D3"/>
    <w:rsid w:val="00AC2BE7"/>
    <w:rsid w:val="00AF7D1C"/>
    <w:rsid w:val="00B119FC"/>
    <w:rsid w:val="00B33E33"/>
    <w:rsid w:val="00B50385"/>
    <w:rsid w:val="00B81D82"/>
    <w:rsid w:val="00B93DAF"/>
    <w:rsid w:val="00BA19C8"/>
    <w:rsid w:val="00BC1AFC"/>
    <w:rsid w:val="00BE2461"/>
    <w:rsid w:val="00BF2069"/>
    <w:rsid w:val="00C157EB"/>
    <w:rsid w:val="00C6007D"/>
    <w:rsid w:val="00C64556"/>
    <w:rsid w:val="00C76D9D"/>
    <w:rsid w:val="00C80575"/>
    <w:rsid w:val="00CA17F3"/>
    <w:rsid w:val="00CA51F6"/>
    <w:rsid w:val="00CE2DF9"/>
    <w:rsid w:val="00CF7656"/>
    <w:rsid w:val="00D037B6"/>
    <w:rsid w:val="00D113F7"/>
    <w:rsid w:val="00D264C5"/>
    <w:rsid w:val="00D40219"/>
    <w:rsid w:val="00D4622B"/>
    <w:rsid w:val="00D6121E"/>
    <w:rsid w:val="00D65C39"/>
    <w:rsid w:val="00D758BE"/>
    <w:rsid w:val="00D94679"/>
    <w:rsid w:val="00DC2160"/>
    <w:rsid w:val="00DF1609"/>
    <w:rsid w:val="00DF5D08"/>
    <w:rsid w:val="00DF7EF2"/>
    <w:rsid w:val="00E0610D"/>
    <w:rsid w:val="00E7063D"/>
    <w:rsid w:val="00E77A9D"/>
    <w:rsid w:val="00E86E7D"/>
    <w:rsid w:val="00E90F24"/>
    <w:rsid w:val="00E93778"/>
    <w:rsid w:val="00E93F31"/>
    <w:rsid w:val="00EA37C8"/>
    <w:rsid w:val="00EE1ECD"/>
    <w:rsid w:val="00F0133D"/>
    <w:rsid w:val="00F06152"/>
    <w:rsid w:val="00F13D57"/>
    <w:rsid w:val="00F77F04"/>
    <w:rsid w:val="00F81493"/>
    <w:rsid w:val="00FE3251"/>
    <w:rsid w:val="00FF35F1"/>
    <w:rsid w:val="00FF3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dc:description/>
  <cp:lastModifiedBy>chuston</cp:lastModifiedBy>
  <cp:revision>2</cp:revision>
  <cp:lastPrinted>2010-04-21T22:15:00Z</cp:lastPrinted>
  <dcterms:created xsi:type="dcterms:W3CDTF">2010-04-21T22:19:00Z</dcterms:created>
  <dcterms:modified xsi:type="dcterms:W3CDTF">2010-04-21T22:19:00Z</dcterms:modified>
</cp:coreProperties>
</file>